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3618" w:rsidRDefault="0012449B">
      <w:pPr>
        <w:rPr>
          <w:rFonts w:ascii="Trebuchet MS" w:eastAsia="Trebuchet MS" w:hAnsi="Trebuchet MS" w:cs="Trebuchet MS"/>
          <w:b/>
          <w:color w:val="0B5394"/>
          <w:sz w:val="30"/>
          <w:szCs w:val="30"/>
        </w:rPr>
      </w:pPr>
      <w:r>
        <w:rPr>
          <w:rFonts w:ascii="Trebuchet MS" w:eastAsia="Trebuchet MS" w:hAnsi="Trebuchet MS" w:cs="Trebuchet MS"/>
          <w:b/>
          <w:color w:val="0B5394"/>
          <w:sz w:val="30"/>
          <w:szCs w:val="30"/>
        </w:rPr>
        <w:t>Design Brief: LC Network Logo</w:t>
      </w:r>
    </w:p>
    <w:p w:rsidR="00FA3618" w:rsidRDefault="00FA3618"/>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05"/>
        <w:gridCol w:w="7155"/>
      </w:tblGrid>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Project Name</w:t>
            </w:r>
          </w:p>
        </w:tc>
        <w:tc>
          <w:tcPr>
            <w:tcW w:w="715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after="200"/>
              <w:rPr>
                <w:rFonts w:ascii="Trebuchet MS" w:eastAsia="Trebuchet MS" w:hAnsi="Trebuchet MS" w:cs="Trebuchet MS"/>
                <w:color w:val="434343"/>
              </w:rPr>
            </w:pPr>
            <w:r w:rsidRPr="0012449B">
              <w:rPr>
                <w:rFonts w:ascii="Trebuchet MS" w:eastAsia="Trebuchet MS" w:hAnsi="Trebuchet MS" w:cs="Trebuchet MS"/>
                <w:color w:val="434343"/>
              </w:rPr>
              <w:t>Logo for International Development Org on Social Norms and Collaboration</w:t>
            </w: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i/>
                <w:color w:val="434343"/>
                <w:sz w:val="26"/>
                <w:szCs w:val="26"/>
              </w:rPr>
            </w:pPr>
            <w:r>
              <w:rPr>
                <w:rFonts w:ascii="Trebuchet MS" w:eastAsia="Trebuchet MS" w:hAnsi="Trebuchet MS" w:cs="Trebuchet MS"/>
                <w:b/>
                <w:color w:val="434343"/>
                <w:sz w:val="26"/>
                <w:szCs w:val="26"/>
              </w:rPr>
              <w:t>Background</w:t>
            </w:r>
          </w:p>
        </w:tc>
        <w:tc>
          <w:tcPr>
            <w:tcW w:w="7155" w:type="dxa"/>
            <w:shd w:val="clear" w:color="auto" w:fill="auto"/>
            <w:tcMar>
              <w:top w:w="100" w:type="dxa"/>
              <w:left w:w="100" w:type="dxa"/>
              <w:bottom w:w="100" w:type="dxa"/>
              <w:right w:w="100" w:type="dxa"/>
            </w:tcMar>
          </w:tcPr>
          <w:p w:rsidR="00FA3618" w:rsidRDefault="0012449B">
            <w:pPr>
              <w:widowControl w:val="0"/>
              <w:spacing w:after="200"/>
              <w:rPr>
                <w:rFonts w:ascii="Trebuchet MS" w:eastAsia="Trebuchet MS" w:hAnsi="Trebuchet MS" w:cs="Trebuchet MS"/>
                <w:color w:val="434343"/>
              </w:rPr>
            </w:pPr>
            <w:r>
              <w:rPr>
                <w:rFonts w:ascii="Trebuchet MS" w:eastAsia="Trebuchet MS" w:hAnsi="Trebuchet MS" w:cs="Trebuchet MS"/>
                <w:color w:val="434343"/>
              </w:rPr>
              <w:t>The Learning Collaborative to Advance Normative Change, (or the Learning Collaborative (LC) for short), is a network of experts working on social norms change interventions. Our members span many sectors of international development, such as health, social</w:t>
            </w:r>
            <w:r>
              <w:rPr>
                <w:rFonts w:ascii="Trebuchet MS" w:eastAsia="Trebuchet MS" w:hAnsi="Trebuchet MS" w:cs="Trebuchet MS"/>
                <w:color w:val="434343"/>
              </w:rPr>
              <w:t xml:space="preserve"> justice, women’s empowerment, family planning, nutrition. The uniting aspect of our work is that we address social norms (or personal or societal beliefs or attitudes about what is typical and appropriate behavior) preventing healthy behaviors.  </w:t>
            </w:r>
          </w:p>
          <w:p w:rsidR="00FA3618" w:rsidRDefault="0012449B">
            <w:pPr>
              <w:widowControl w:val="0"/>
              <w:spacing w:after="200"/>
              <w:rPr>
                <w:rFonts w:ascii="Trebuchet MS" w:eastAsia="Trebuchet MS" w:hAnsi="Trebuchet MS" w:cs="Trebuchet MS"/>
                <w:color w:val="434343"/>
              </w:rPr>
            </w:pPr>
            <w:r>
              <w:rPr>
                <w:rFonts w:ascii="Trebuchet MS" w:eastAsia="Trebuchet MS" w:hAnsi="Trebuchet MS" w:cs="Trebuchet MS"/>
                <w:color w:val="434343"/>
              </w:rPr>
              <w:t>Together</w:t>
            </w:r>
            <w:r>
              <w:rPr>
                <w:rFonts w:ascii="Trebuchet MS" w:eastAsia="Trebuchet MS" w:hAnsi="Trebuchet MS" w:cs="Trebuchet MS"/>
                <w:color w:val="434343"/>
              </w:rPr>
              <w:t>, our members collaborate between organizations and individuals to develop tools, build capacity and skills, and synthesize and share knowledge. This work aims to advance understanding of social norms, and improve implementation, evaluation, and scale-up o</w:t>
            </w:r>
            <w:r>
              <w:rPr>
                <w:rFonts w:ascii="Trebuchet MS" w:eastAsia="Trebuchet MS" w:hAnsi="Trebuchet MS" w:cs="Trebuchet MS"/>
                <w:color w:val="434343"/>
              </w:rPr>
              <w:t>f these programs. By sharing our insights and learnings in real time we can advance global efforts to address the powerful influence of social norms.</w:t>
            </w:r>
          </w:p>
          <w:p w:rsidR="00FA3618" w:rsidRDefault="0012449B">
            <w:pPr>
              <w:widowControl w:val="0"/>
              <w:spacing w:after="200"/>
              <w:rPr>
                <w:rFonts w:ascii="Trebuchet MS" w:eastAsia="Trebuchet MS" w:hAnsi="Trebuchet MS" w:cs="Trebuchet MS"/>
                <w:b/>
                <w:color w:val="434343"/>
              </w:rPr>
            </w:pPr>
            <w:r>
              <w:rPr>
                <w:rFonts w:ascii="Trebuchet MS" w:eastAsia="Trebuchet MS" w:hAnsi="Trebuchet MS" w:cs="Trebuchet MS"/>
                <w:b/>
                <w:color w:val="434343"/>
              </w:rPr>
              <w:t>Design Ideas:</w:t>
            </w:r>
          </w:p>
          <w:p w:rsidR="00FA3618" w:rsidRDefault="0012449B">
            <w:pPr>
              <w:widowControl w:val="0"/>
              <w:numPr>
                <w:ilvl w:val="0"/>
                <w:numId w:val="1"/>
              </w:numPr>
              <w:rPr>
                <w:rFonts w:ascii="Trebuchet MS" w:eastAsia="Trebuchet MS" w:hAnsi="Trebuchet MS" w:cs="Trebuchet MS"/>
                <w:color w:val="434343"/>
              </w:rPr>
            </w:pPr>
            <w:r>
              <w:rPr>
                <w:rFonts w:ascii="Trebuchet MS" w:eastAsia="Trebuchet MS" w:hAnsi="Trebuchet MS" w:cs="Trebuchet MS"/>
                <w:color w:val="434343"/>
              </w:rPr>
              <w:t>Materials/events produced by the LC have shared ownership by members involved, but it’s very</w:t>
            </w:r>
            <w:r>
              <w:rPr>
                <w:rFonts w:ascii="Trebuchet MS" w:eastAsia="Trebuchet MS" w:hAnsi="Trebuchet MS" w:cs="Trebuchet MS"/>
                <w:color w:val="434343"/>
              </w:rPr>
              <w:t xml:space="preserve"> important that the materials aren’t seen to be owned by one organization more than another. The LC logo should emphasize this collaborative process and shared ownership. </w:t>
            </w:r>
          </w:p>
          <w:p w:rsidR="00FA3618" w:rsidRDefault="0012449B">
            <w:pPr>
              <w:widowControl w:val="0"/>
              <w:numPr>
                <w:ilvl w:val="0"/>
                <w:numId w:val="1"/>
              </w:numPr>
              <w:rPr>
                <w:rFonts w:ascii="Trebuchet MS" w:eastAsia="Trebuchet MS" w:hAnsi="Trebuchet MS" w:cs="Trebuchet MS"/>
                <w:color w:val="434343"/>
              </w:rPr>
            </w:pPr>
            <w:r>
              <w:rPr>
                <w:rFonts w:ascii="Trebuchet MS" w:eastAsia="Trebuchet MS" w:hAnsi="Trebuchet MS" w:cs="Trebuchet MS"/>
                <w:color w:val="434343"/>
              </w:rPr>
              <w:t xml:space="preserve">The LC encompasses a global network, as well as regional-specific networks, such as </w:t>
            </w:r>
            <w:r>
              <w:rPr>
                <w:rFonts w:ascii="Trebuchet MS" w:eastAsia="Trebuchet MS" w:hAnsi="Trebuchet MS" w:cs="Trebuchet MS"/>
                <w:color w:val="434343"/>
              </w:rPr>
              <w:t xml:space="preserve">Francophone Africa or South Asia. As such, we’d like a logo that can be customized from the global version, to be adapted to each region. </w:t>
            </w:r>
          </w:p>
          <w:p w:rsidR="00FA3618" w:rsidRDefault="0012449B">
            <w:pPr>
              <w:widowControl w:val="0"/>
              <w:numPr>
                <w:ilvl w:val="0"/>
                <w:numId w:val="1"/>
              </w:numPr>
              <w:rPr>
                <w:rFonts w:ascii="Trebuchet MS" w:eastAsia="Trebuchet MS" w:hAnsi="Trebuchet MS" w:cs="Trebuchet MS"/>
                <w:color w:val="434343"/>
              </w:rPr>
            </w:pPr>
            <w:r>
              <w:rPr>
                <w:rFonts w:ascii="Trebuchet MS" w:eastAsia="Trebuchet MS" w:hAnsi="Trebuchet MS" w:cs="Trebuchet MS"/>
                <w:color w:val="434343"/>
              </w:rPr>
              <w:t>We also use the acronym “LC”, which could be incorporated into the logo along with the full name, “Learning Collabora</w:t>
            </w:r>
            <w:r>
              <w:rPr>
                <w:rFonts w:ascii="Trebuchet MS" w:eastAsia="Trebuchet MS" w:hAnsi="Trebuchet MS" w:cs="Trebuchet MS"/>
                <w:color w:val="434343"/>
              </w:rPr>
              <w:t>tive to Advance Normative Change”</w:t>
            </w:r>
          </w:p>
          <w:p w:rsidR="00FA3618" w:rsidRDefault="0012449B">
            <w:pPr>
              <w:widowControl w:val="0"/>
              <w:numPr>
                <w:ilvl w:val="0"/>
                <w:numId w:val="1"/>
              </w:numPr>
              <w:rPr>
                <w:rFonts w:ascii="Trebuchet MS" w:eastAsia="Trebuchet MS" w:hAnsi="Trebuchet MS" w:cs="Trebuchet MS"/>
                <w:color w:val="434343"/>
              </w:rPr>
            </w:pPr>
            <w:r>
              <w:rPr>
                <w:rFonts w:ascii="Trebuchet MS" w:eastAsia="Trebuchet MS" w:hAnsi="Trebuchet MS" w:cs="Trebuchet MS"/>
                <w:color w:val="434343"/>
              </w:rPr>
              <w:t>We work together in a collaborative process of learning bidirectionally (meaning we all learn from each other, rather than only top-down).</w:t>
            </w:r>
          </w:p>
          <w:p w:rsidR="00FA3618" w:rsidRDefault="0012449B">
            <w:pPr>
              <w:widowControl w:val="0"/>
              <w:numPr>
                <w:ilvl w:val="0"/>
                <w:numId w:val="1"/>
              </w:numPr>
              <w:spacing w:after="200"/>
              <w:rPr>
                <w:rFonts w:ascii="Trebuchet MS" w:eastAsia="Trebuchet MS" w:hAnsi="Trebuchet MS" w:cs="Trebuchet MS"/>
                <w:color w:val="434343"/>
              </w:rPr>
            </w:pPr>
            <w:r>
              <w:rPr>
                <w:rFonts w:ascii="Trebuchet MS" w:eastAsia="Trebuchet MS" w:hAnsi="Trebuchet MS" w:cs="Trebuchet MS"/>
                <w:color w:val="434343"/>
              </w:rPr>
              <w:t>Our work is also focused on norms change (i.e. changing someone’s actions to a heal</w:t>
            </w:r>
            <w:r>
              <w:rPr>
                <w:rFonts w:ascii="Trebuchet MS" w:eastAsia="Trebuchet MS" w:hAnsi="Trebuchet MS" w:cs="Trebuchet MS"/>
                <w:color w:val="434343"/>
              </w:rPr>
              <w:t xml:space="preserve">thy behavior) so we also thought of the ideas of disruption or change that demonstrates this </w:t>
            </w:r>
            <w:r>
              <w:rPr>
                <w:rFonts w:ascii="Trebuchet MS" w:eastAsia="Trebuchet MS" w:hAnsi="Trebuchet MS" w:cs="Trebuchet MS"/>
                <w:color w:val="434343"/>
              </w:rPr>
              <w:lastRenderedPageBreak/>
              <w:t xml:space="preserve">process. </w:t>
            </w: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lastRenderedPageBreak/>
              <w:t>Objectives</w:t>
            </w:r>
          </w:p>
        </w:tc>
        <w:tc>
          <w:tcPr>
            <w:tcW w:w="7155" w:type="dxa"/>
            <w:shd w:val="clear" w:color="auto" w:fill="auto"/>
            <w:tcMar>
              <w:top w:w="100" w:type="dxa"/>
              <w:left w:w="100" w:type="dxa"/>
              <w:bottom w:w="100" w:type="dxa"/>
              <w:right w:w="100" w:type="dxa"/>
            </w:tcMar>
          </w:tcPr>
          <w:p w:rsidR="00FA3618" w:rsidRDefault="0012449B">
            <w:pPr>
              <w:widowControl w:val="0"/>
              <w:numPr>
                <w:ilvl w:val="0"/>
                <w:numId w:val="2"/>
              </w:numPr>
              <w:pBdr>
                <w:top w:val="nil"/>
                <w:left w:val="nil"/>
                <w:bottom w:val="nil"/>
                <w:right w:val="nil"/>
                <w:between w:val="nil"/>
              </w:pBdr>
              <w:rPr>
                <w:rFonts w:ascii="Trebuchet MS" w:eastAsia="Trebuchet MS" w:hAnsi="Trebuchet MS" w:cs="Trebuchet MS"/>
                <w:color w:val="434343"/>
              </w:rPr>
            </w:pPr>
            <w:r>
              <w:rPr>
                <w:rFonts w:ascii="Trebuchet MS" w:eastAsia="Trebuchet MS" w:hAnsi="Trebuchet MS" w:cs="Trebuchet MS"/>
                <w:color w:val="434343"/>
              </w:rPr>
              <w:t xml:space="preserve">A logo that can be customized from the global version, to be adapted to each region. </w:t>
            </w:r>
          </w:p>
          <w:p w:rsidR="00FA3618" w:rsidRDefault="0012449B">
            <w:pPr>
              <w:widowControl w:val="0"/>
              <w:numPr>
                <w:ilvl w:val="0"/>
                <w:numId w:val="2"/>
              </w:numPr>
              <w:pBdr>
                <w:top w:val="nil"/>
                <w:left w:val="nil"/>
                <w:bottom w:val="nil"/>
                <w:right w:val="nil"/>
                <w:between w:val="nil"/>
              </w:pBdr>
              <w:spacing w:after="200"/>
              <w:rPr>
                <w:rFonts w:ascii="Trebuchet MS" w:eastAsia="Trebuchet MS" w:hAnsi="Trebuchet MS" w:cs="Trebuchet MS"/>
                <w:color w:val="434343"/>
              </w:rPr>
            </w:pPr>
            <w:r>
              <w:rPr>
                <w:rFonts w:ascii="Trebuchet MS" w:eastAsia="Trebuchet MS" w:hAnsi="Trebuchet MS" w:cs="Trebuchet MS"/>
                <w:color w:val="434343"/>
              </w:rPr>
              <w:t>A logo that is a combination mark (an image/icon and text)</w:t>
            </w: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Logo Text</w:t>
            </w:r>
          </w:p>
        </w:tc>
        <w:tc>
          <w:tcPr>
            <w:tcW w:w="715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after="200"/>
              <w:rPr>
                <w:rFonts w:ascii="Trebuchet MS" w:eastAsia="Trebuchet MS" w:hAnsi="Trebuchet MS" w:cs="Trebuchet MS"/>
                <w:color w:val="434343"/>
              </w:rPr>
            </w:pPr>
            <w:r>
              <w:rPr>
                <w:rFonts w:ascii="Trebuchet MS" w:eastAsia="Trebuchet MS" w:hAnsi="Trebuchet MS" w:cs="Trebuchet MS"/>
                <w:color w:val="434343"/>
              </w:rPr>
              <w:t>The Learning Collaborative to Advance Normative Change</w:t>
            </w:r>
          </w:p>
          <w:p w:rsidR="00FA3618" w:rsidRDefault="00FA3618">
            <w:pPr>
              <w:widowControl w:val="0"/>
              <w:pBdr>
                <w:top w:val="nil"/>
                <w:left w:val="nil"/>
                <w:bottom w:val="nil"/>
                <w:right w:val="nil"/>
                <w:between w:val="nil"/>
              </w:pBdr>
              <w:spacing w:after="200"/>
              <w:rPr>
                <w:rFonts w:ascii="Trebuchet MS" w:eastAsia="Trebuchet MS" w:hAnsi="Trebuchet MS" w:cs="Trebuchet MS"/>
                <w:color w:val="434343"/>
              </w:rPr>
            </w:pP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 xml:space="preserve">Target </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Audience</w:t>
            </w:r>
          </w:p>
        </w:tc>
        <w:tc>
          <w:tcPr>
            <w:tcW w:w="715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after="200"/>
              <w:rPr>
                <w:rFonts w:ascii="Trebuchet MS" w:eastAsia="Trebuchet MS" w:hAnsi="Trebuchet MS" w:cs="Trebuchet MS"/>
                <w:color w:val="434343"/>
              </w:rPr>
            </w:pPr>
            <w:r>
              <w:rPr>
                <w:rFonts w:ascii="Trebuchet MS" w:eastAsia="Trebuchet MS" w:hAnsi="Trebuchet MS" w:cs="Trebuchet MS"/>
                <w:color w:val="434343"/>
              </w:rPr>
              <w:t>Individuals working on research, implementation, funding and public policy around social norms interventions (globally and regionally)</w:t>
            </w: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Key Messages</w:t>
            </w:r>
          </w:p>
        </w:tc>
        <w:tc>
          <w:tcPr>
            <w:tcW w:w="715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after="200"/>
              <w:rPr>
                <w:rFonts w:ascii="Trebuchet MS" w:eastAsia="Trebuchet MS" w:hAnsi="Trebuchet MS" w:cs="Trebuchet MS"/>
                <w:color w:val="434343"/>
              </w:rPr>
            </w:pPr>
            <w:r>
              <w:rPr>
                <w:rFonts w:ascii="Trebuchet MS" w:eastAsia="Trebuchet MS" w:hAnsi="Trebuchet MS" w:cs="Trebuchet MS"/>
                <w:color w:val="434343"/>
              </w:rPr>
              <w:t>Our core values are collaboration, connection (networking), shared decision-making and continuous learning.</w:t>
            </w:r>
            <w:r>
              <w:rPr>
                <w:rFonts w:ascii="Trebuchet MS" w:eastAsia="Trebuchet MS" w:hAnsi="Trebuchet MS" w:cs="Trebuchet MS"/>
                <w:color w:val="434343"/>
              </w:rPr>
              <w:t xml:space="preserve"> </w:t>
            </w:r>
          </w:p>
        </w:tc>
      </w:tr>
      <w:tr w:rsidR="00FA3618">
        <w:tc>
          <w:tcPr>
            <w:tcW w:w="2205" w:type="dxa"/>
            <w:shd w:val="clear" w:color="auto" w:fill="D0E0E3"/>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Look and Feel</w:t>
            </w:r>
          </w:p>
        </w:tc>
        <w:tc>
          <w:tcPr>
            <w:tcW w:w="715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after="200"/>
              <w:rPr>
                <w:rFonts w:ascii="Trebuchet MS" w:eastAsia="Trebuchet MS" w:hAnsi="Trebuchet MS" w:cs="Trebuchet MS"/>
                <w:color w:val="434343"/>
              </w:rPr>
            </w:pPr>
            <w:r>
              <w:rPr>
                <w:rFonts w:ascii="Trebuchet MS" w:eastAsia="Trebuchet MS" w:hAnsi="Trebuchet MS" w:cs="Trebuchet MS"/>
                <w:color w:val="434343"/>
              </w:rPr>
              <w:t>Modern and Classic. Youthful but Mature. Simple, clean, practical. Functional. Active, Engaging. Human. Group dynamics. Change. Ongoing process of learning/not static.</w:t>
            </w:r>
          </w:p>
        </w:tc>
      </w:tr>
    </w:tbl>
    <w:p w:rsidR="00FA3618" w:rsidRDefault="00FA3618"/>
    <w:p w:rsidR="00FA3618" w:rsidRDefault="00FA3618">
      <w:pPr>
        <w:rPr>
          <w:rFonts w:ascii="Trebuchet MS" w:eastAsia="Trebuchet MS" w:hAnsi="Trebuchet MS" w:cs="Trebuchet MS"/>
          <w:b/>
          <w:color w:val="434343"/>
          <w:sz w:val="26"/>
          <w:szCs w:val="26"/>
        </w:rPr>
      </w:pPr>
    </w:p>
    <w:p w:rsidR="00FA3618" w:rsidRDefault="0012449B">
      <w:pPr>
        <w:rPr>
          <w:rFonts w:ascii="Trebuchet MS" w:eastAsia="Trebuchet MS" w:hAnsi="Trebuchet MS" w:cs="Trebuchet MS"/>
          <w:b/>
          <w:color w:val="434343"/>
          <w:sz w:val="26"/>
          <w:szCs w:val="26"/>
        </w:rPr>
      </w:pPr>
      <w:r>
        <w:br w:type="page"/>
      </w:r>
    </w:p>
    <w:p w:rsidR="00FA3618" w:rsidRDefault="0012449B">
      <w:r>
        <w:rPr>
          <w:rFonts w:ascii="Trebuchet MS" w:eastAsia="Trebuchet MS" w:hAnsi="Trebuchet MS" w:cs="Trebuchet MS"/>
          <w:b/>
          <w:color w:val="434343"/>
          <w:sz w:val="26"/>
          <w:szCs w:val="26"/>
        </w:rPr>
        <w:lastRenderedPageBreak/>
        <w:t>Comments on Similar Organizations</w:t>
      </w:r>
    </w:p>
    <w:p w:rsidR="00FA3618" w:rsidRDefault="00FA3618"/>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6480"/>
      </w:tblGrid>
      <w:tr w:rsidR="00FA3618">
        <w:tc>
          <w:tcPr>
            <w:tcW w:w="2880"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9050" distB="19050" distL="19050" distR="19050">
                  <wp:extent cx="1695450" cy="635000"/>
                  <wp:effectExtent l="0" t="0" r="0" b="0"/>
                  <wp:docPr id="13" name="image13.png" descr="https://www.togetherforgirls.org/wp-content/uploads/2017/08/TFG.png"/>
                  <wp:cNvGraphicFramePr/>
                  <a:graphic xmlns:a="http://schemas.openxmlformats.org/drawingml/2006/main">
                    <a:graphicData uri="http://schemas.openxmlformats.org/drawingml/2006/picture">
                      <pic:pic xmlns:pic="http://schemas.openxmlformats.org/drawingml/2006/picture">
                        <pic:nvPicPr>
                          <pic:cNvPr id="0" name="image13.png" descr="https://www.togetherforgirls.org/wp-content/uploads/2017/08/TFG.png"/>
                          <pic:cNvPicPr preferRelativeResize="0"/>
                        </pic:nvPicPr>
                        <pic:blipFill>
                          <a:blip r:embed="rId5"/>
                          <a:srcRect/>
                          <a:stretch>
                            <a:fillRect/>
                          </a:stretch>
                        </pic:blipFill>
                        <pic:spPr>
                          <a:xfrm>
                            <a:off x="0" y="0"/>
                            <a:ext cx="1695450" cy="6350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CD- 2 - I like the bright colors and the use of overlapping space</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JG - 3 - Agree! </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LS - agree</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love the colours and the sense of collaboration</w:t>
            </w:r>
          </w:p>
        </w:tc>
      </w:tr>
      <w:tr w:rsidR="00FA3618">
        <w:tc>
          <w:tcPr>
            <w:tcW w:w="2880"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9050" distB="19050" distL="19050" distR="19050">
                  <wp:extent cx="1139469" cy="1139469"/>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
                          <a:srcRect/>
                          <a:stretch>
                            <a:fillRect/>
                          </a:stretch>
                        </pic:blipFill>
                        <pic:spPr>
                          <a:xfrm>
                            <a:off x="0" y="0"/>
                            <a:ext cx="1139469" cy="1139469"/>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JG - 1 - I like this, I think it shows linkages but also diversity of members/components, and shows forward momentum. It’s quite big, though, compared to the text. </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LS - I like the overlapping shapes and color shades to show advancement</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DW- not so keen on </w:t>
            </w:r>
            <w:r>
              <w:rPr>
                <w:rFonts w:ascii="Trebuchet MS" w:eastAsia="Trebuchet MS" w:hAnsi="Trebuchet MS" w:cs="Trebuchet MS"/>
                <w:sz w:val="18"/>
                <w:szCs w:val="18"/>
              </w:rPr>
              <w:t>this one, would make a good logo for a firm of architects, though it does show linkages in a way.  If we were able to show books perhaps, it does indicate our emphasis on learning.</w:t>
            </w:r>
          </w:p>
        </w:tc>
      </w:tr>
      <w:tr w:rsidR="00FA3618">
        <w:tc>
          <w:tcPr>
            <w:tcW w:w="2880"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9050" distB="19050" distL="19050" distR="19050">
                  <wp:extent cx="1695450" cy="482600"/>
                  <wp:effectExtent l="0" t="0" r="0" b="0"/>
                  <wp:docPr id="1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1695450" cy="4826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JG - a note to make sure the logo we settle on is sufficiently different</w:t>
            </w:r>
            <w:r>
              <w:rPr>
                <w:rFonts w:ascii="Trebuchet MS" w:eastAsia="Trebuchet MS" w:hAnsi="Trebuchet MS" w:cs="Trebuchet MS"/>
                <w:sz w:val="18"/>
                <w:szCs w:val="18"/>
              </w:rPr>
              <w:t xml:space="preserve"> from this one - as a lot of the collaboration forward ones from David’s search look similar </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DW - we should probably avoid this look of people holding hands.  I do like it (and made one for a partner in Mozambique just like this 10 years ago) but I think </w:t>
            </w:r>
            <w:r>
              <w:rPr>
                <w:rFonts w:ascii="Trebuchet MS" w:eastAsia="Trebuchet MS" w:hAnsi="Trebuchet MS" w:cs="Trebuchet MS"/>
                <w:sz w:val="18"/>
                <w:szCs w:val="18"/>
              </w:rPr>
              <w:t>it has become somewhat cliched. The inter-connectedness and collaboration is clear, but another way of showing it would be better.</w:t>
            </w:r>
          </w:p>
        </w:tc>
      </w:tr>
      <w:tr w:rsidR="00FA3618">
        <w:tc>
          <w:tcPr>
            <w:tcW w:w="2880"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9050" distB="19050" distL="19050" distR="19050">
                  <wp:extent cx="1695450" cy="673100"/>
                  <wp:effectExtent l="0" t="0" r="0" b="0"/>
                  <wp:docPr id="1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8"/>
                          <a:srcRect/>
                          <a:stretch>
                            <a:fillRect/>
                          </a:stretch>
                        </pic:blipFill>
                        <pic:spPr>
                          <a:xfrm>
                            <a:off x="0" y="0"/>
                            <a:ext cx="1695450" cy="6731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DW- I like this one, the ‘i’ characters are presumably those people, but this time without arms.  It’s a ‘hub and spoke’ effect, which is nice.  Also the letters are large and clear.  </w:t>
            </w:r>
          </w:p>
        </w:tc>
      </w:tr>
      <w:tr w:rsidR="00FA3618">
        <w:tc>
          <w:tcPr>
            <w:tcW w:w="28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pPr>
            <w:r>
              <w:rPr>
                <w:noProof/>
                <w:lang w:val="en-US"/>
              </w:rPr>
              <w:drawing>
                <wp:inline distT="19050" distB="19050" distL="19050" distR="19050">
                  <wp:extent cx="1695450" cy="635000"/>
                  <wp:effectExtent l="0" t="0" r="0" b="0"/>
                  <wp:docPr id="9" name="image4.jpg" descr="https://www.lshtm.ac.uk/sites/default/files/2018-03/LINEA-Project_0.jpg"/>
                  <wp:cNvGraphicFramePr/>
                  <a:graphic xmlns:a="http://schemas.openxmlformats.org/drawingml/2006/main">
                    <a:graphicData uri="http://schemas.openxmlformats.org/drawingml/2006/picture">
                      <pic:pic xmlns:pic="http://schemas.openxmlformats.org/drawingml/2006/picture">
                        <pic:nvPicPr>
                          <pic:cNvPr id="0" name="image4.jpg" descr="https://www.lshtm.ac.uk/sites/default/files/2018-03/LINEA-Project_0.jpg"/>
                          <pic:cNvPicPr preferRelativeResize="0"/>
                        </pic:nvPicPr>
                        <pic:blipFill>
                          <a:blip r:embed="rId9"/>
                          <a:srcRect/>
                          <a:stretch>
                            <a:fillRect/>
                          </a:stretch>
                        </pic:blipFill>
                        <pic:spPr>
                          <a:xfrm>
                            <a:off x="0" y="0"/>
                            <a:ext cx="1695450" cy="6350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LS- this is unique, but does not look so appealing to me. The yellow may be hard for copies.</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good for them for being unique, but I don’t think there is much to draw from here.  The letters beneath the name are tiny, and I agree that the yellow would p</w:t>
            </w:r>
            <w:r>
              <w:rPr>
                <w:rFonts w:ascii="Trebuchet MS" w:eastAsia="Trebuchet MS" w:hAnsi="Trebuchet MS" w:cs="Trebuchet MS"/>
                <w:sz w:val="18"/>
                <w:szCs w:val="18"/>
              </w:rPr>
              <w:t>robably wash out in presentations.</w:t>
            </w:r>
          </w:p>
        </w:tc>
      </w:tr>
      <w:tr w:rsidR="00FA3618">
        <w:tc>
          <w:tcPr>
            <w:tcW w:w="28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pPr>
            <w:r>
              <w:rPr>
                <w:noProof/>
                <w:lang w:val="en-US"/>
              </w:rPr>
              <w:drawing>
                <wp:inline distT="19050" distB="19050" distL="19050" distR="19050">
                  <wp:extent cx="1695450" cy="469900"/>
                  <wp:effectExtent l="0" t="0" r="0" b="0"/>
                  <wp:docPr id="1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0"/>
                          <a:srcRect/>
                          <a:stretch>
                            <a:fillRect/>
                          </a:stretch>
                        </pic:blipFill>
                        <pic:spPr>
                          <a:xfrm>
                            <a:off x="0" y="0"/>
                            <a:ext cx="1695450" cy="4699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I like the sense of growth in those circles, but it’s rather plain.</w:t>
            </w:r>
          </w:p>
        </w:tc>
      </w:tr>
      <w:tr w:rsidR="00FA3618">
        <w:tc>
          <w:tcPr>
            <w:tcW w:w="28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pPr>
            <w:r>
              <w:rPr>
                <w:noProof/>
                <w:lang w:val="en-US"/>
              </w:rPr>
              <w:drawing>
                <wp:inline distT="19050" distB="19050" distL="19050" distR="19050">
                  <wp:extent cx="1695450" cy="419100"/>
                  <wp:effectExtent l="0" t="0" r="0" b="0"/>
                  <wp:docPr id="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1695450" cy="4191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CD - 1 - I know ibp just went through a rebranding, and I like the way they use these circles from their logo in different ways (</w:t>
            </w:r>
            <w:hyperlink r:id="rId12">
              <w:r>
                <w:rPr>
                  <w:rFonts w:ascii="Trebuchet MS" w:eastAsia="Trebuchet MS" w:hAnsi="Trebuchet MS" w:cs="Trebuchet MS"/>
                  <w:color w:val="1155CC"/>
                  <w:sz w:val="18"/>
                  <w:szCs w:val="18"/>
                  <w:u w:val="single"/>
                </w:rPr>
                <w:t>link</w:t>
              </w:r>
            </w:hyperlink>
            <w:r>
              <w:rPr>
                <w:rFonts w:ascii="Trebuchet MS" w:eastAsia="Trebuchet MS" w:hAnsi="Trebuchet MS" w:cs="Trebuchet MS"/>
                <w:sz w:val="18"/>
                <w:szCs w:val="18"/>
              </w:rPr>
              <w:t>). I’m not sure if the circles are the most descriptive graphic element, but I like the cohesion across their brand areas.</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LS- good point, Cait. Somehow circles do</w:t>
            </w:r>
            <w:r>
              <w:rPr>
                <w:rFonts w:ascii="Trebuchet MS" w:eastAsia="Trebuchet MS" w:hAnsi="Trebuchet MS" w:cs="Trebuchet MS"/>
                <w:sz w:val="18"/>
                <w:szCs w:val="18"/>
              </w:rPr>
              <w:t xml:space="preserve"> seem to link to norms, social networks to me.</w:t>
            </w:r>
          </w:p>
          <w:p w:rsidR="00FA3618" w:rsidRDefault="00FA3618">
            <w:pPr>
              <w:widowControl w:val="0"/>
              <w:pBdr>
                <w:top w:val="nil"/>
                <w:left w:val="nil"/>
                <w:bottom w:val="nil"/>
                <w:right w:val="nil"/>
                <w:between w:val="nil"/>
              </w:pBdr>
              <w:spacing w:line="240" w:lineRule="auto"/>
              <w:rPr>
                <w:rFonts w:ascii="Trebuchet MS" w:eastAsia="Trebuchet MS" w:hAnsi="Trebuchet MS" w:cs="Trebuchet MS"/>
                <w:sz w:val="18"/>
                <w:szCs w:val="18"/>
              </w:rPr>
            </w:pPr>
          </w:p>
          <w:p w:rsidR="00FA3618" w:rsidRDefault="00FA3618">
            <w:pPr>
              <w:widowControl w:val="0"/>
              <w:pBdr>
                <w:top w:val="nil"/>
                <w:left w:val="nil"/>
                <w:bottom w:val="nil"/>
                <w:right w:val="nil"/>
                <w:between w:val="nil"/>
              </w:pBdr>
              <w:spacing w:line="240" w:lineRule="auto"/>
              <w:rPr>
                <w:rFonts w:ascii="Trebuchet MS" w:eastAsia="Trebuchet MS" w:hAnsi="Trebuchet MS" w:cs="Trebuchet MS"/>
                <w:sz w:val="18"/>
                <w:szCs w:val="18"/>
              </w:rPr>
            </w:pPr>
          </w:p>
        </w:tc>
      </w:tr>
      <w:tr w:rsidR="00FA3618">
        <w:tc>
          <w:tcPr>
            <w:tcW w:w="2880"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14300" distB="114300" distL="114300" distR="114300">
                  <wp:extent cx="1695450" cy="457200"/>
                  <wp:effectExtent l="0" t="0" r="0" b="0"/>
                  <wp:docPr id="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1695450" cy="4572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JG - 2 - this logo is a little involved but I think it shows layers of collaboration and connection in a nice way </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unfortunately for them they have chosen a COVID molecule as their logo and I imagine they are rapidly re-branding right now!  It would have been ok, though the lettering is very faint.</w:t>
            </w:r>
          </w:p>
        </w:tc>
      </w:tr>
      <w:tr w:rsidR="00FA3618">
        <w:tc>
          <w:tcPr>
            <w:tcW w:w="28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pPr>
            <w:r>
              <w:rPr>
                <w:noProof/>
                <w:lang w:val="en-US"/>
              </w:rPr>
              <w:lastRenderedPageBreak/>
              <w:drawing>
                <wp:inline distT="114300" distB="114300" distL="114300" distR="114300">
                  <wp:extent cx="1438275" cy="933450"/>
                  <wp:effectExtent l="0" t="0" r="0" b="0"/>
                  <wp:docPr id="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a:stretch>
                            <a:fillRect/>
                          </a:stretch>
                        </pic:blipFill>
                        <pic:spPr>
                          <a:xfrm>
                            <a:off x="0" y="0"/>
                            <a:ext cx="1438275" cy="93345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JG - I like this logo, which is a little unusual/off the beaten</w:t>
            </w:r>
            <w:r>
              <w:rPr>
                <w:rFonts w:ascii="Trebuchet MS" w:eastAsia="Trebuchet MS" w:hAnsi="Trebuchet MS" w:cs="Trebuchet MS"/>
                <w:sz w:val="18"/>
                <w:szCs w:val="18"/>
              </w:rPr>
              <w:t xml:space="preserve"> path, but also has dots in the middle that I read as points of connection (maybe wrongly). I do think the way the components fit together is a little odd. </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Interesting - I see it quite differently. In this case I can’t get away from the word ‘flower’</w:t>
            </w:r>
            <w:r>
              <w:rPr>
                <w:rFonts w:ascii="Trebuchet MS" w:eastAsia="Trebuchet MS" w:hAnsi="Trebuchet MS" w:cs="Trebuchet MS"/>
                <w:sz w:val="18"/>
                <w:szCs w:val="18"/>
              </w:rPr>
              <w:t xml:space="preserve"> and I’m not sure what that says to the typical viewer.</w:t>
            </w:r>
          </w:p>
        </w:tc>
      </w:tr>
      <w:tr w:rsidR="00FA3618">
        <w:tc>
          <w:tcPr>
            <w:tcW w:w="28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pPr>
            <w:r>
              <w:rPr>
                <w:noProof/>
                <w:lang w:val="en-US"/>
              </w:rPr>
              <w:drawing>
                <wp:inline distT="114300" distB="114300" distL="114300" distR="114300">
                  <wp:extent cx="1695450" cy="8382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1695450" cy="838200"/>
                          </a:xfrm>
                          <a:prstGeom prst="rect">
                            <a:avLst/>
                          </a:prstGeom>
                          <a:ln/>
                        </pic:spPr>
                      </pic:pic>
                    </a:graphicData>
                  </a:graphic>
                </wp:inline>
              </w:drawing>
            </w:r>
          </w:p>
        </w:tc>
        <w:tc>
          <w:tcPr>
            <w:tcW w:w="6480"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 xml:space="preserve">JG - I think this logo uses bright colours and it does seem to show movement, but having different-sized squares indicates a less democratic ethos to me. </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very bold colours, which I like, thou</w:t>
            </w:r>
            <w:r>
              <w:rPr>
                <w:rFonts w:ascii="Trebuchet MS" w:eastAsia="Trebuchet MS" w:hAnsi="Trebuchet MS" w:cs="Trebuchet MS"/>
                <w:sz w:val="18"/>
                <w:szCs w:val="18"/>
              </w:rPr>
              <w:t>gh it seems a little non-human.  If I were them I might try to focus more on the women, and less on the research in their visuals.</w:t>
            </w:r>
          </w:p>
        </w:tc>
      </w:tr>
    </w:tbl>
    <w:p w:rsidR="00FA3618" w:rsidRDefault="00FA3618"/>
    <w:p w:rsidR="00FA3618" w:rsidRDefault="00FA3618">
      <w:pPr>
        <w:rPr>
          <w:rFonts w:ascii="Trebuchet MS" w:eastAsia="Trebuchet MS" w:hAnsi="Trebuchet MS" w:cs="Trebuchet MS"/>
          <w:b/>
          <w:color w:val="434343"/>
          <w:sz w:val="26"/>
          <w:szCs w:val="26"/>
        </w:rPr>
      </w:pPr>
    </w:p>
    <w:p w:rsidR="00FA3618" w:rsidRDefault="0012449B">
      <w:pPr>
        <w:rPr>
          <w:rFonts w:ascii="Trebuchet MS" w:eastAsia="Trebuchet MS" w:hAnsi="Trebuchet MS" w:cs="Trebuchet MS"/>
          <w:b/>
          <w:color w:val="434343"/>
          <w:sz w:val="26"/>
          <w:szCs w:val="26"/>
        </w:rPr>
      </w:pPr>
      <w:r>
        <w:rPr>
          <w:rFonts w:ascii="Trebuchet MS" w:eastAsia="Trebuchet MS" w:hAnsi="Trebuchet MS" w:cs="Trebuchet MS"/>
          <w:b/>
          <w:color w:val="434343"/>
          <w:sz w:val="26"/>
          <w:szCs w:val="26"/>
        </w:rPr>
        <w:t>Comments on Generic “Collaboration Logos”</w:t>
      </w:r>
    </w:p>
    <w:p w:rsidR="00FA3618" w:rsidRDefault="00FA3618">
      <w:pPr>
        <w:rPr>
          <w:rFonts w:ascii="Trebuchet MS" w:eastAsia="Trebuchet MS" w:hAnsi="Trebuchet MS" w:cs="Trebuchet MS"/>
          <w:b/>
          <w:color w:val="434343"/>
          <w:sz w:val="26"/>
          <w:szCs w:val="26"/>
        </w:rPr>
      </w:pPr>
    </w:p>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35"/>
        <w:gridCol w:w="6525"/>
      </w:tblGrid>
      <w:tr w:rsidR="00FA3618">
        <w:tc>
          <w:tcPr>
            <w:tcW w:w="283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noProof/>
                <w:color w:val="434343"/>
                <w:sz w:val="26"/>
                <w:szCs w:val="26"/>
                <w:lang w:val="en-US"/>
              </w:rPr>
              <w:drawing>
                <wp:inline distT="114300" distB="114300" distL="114300" distR="114300">
                  <wp:extent cx="809625" cy="835433"/>
                  <wp:effectExtent l="0" t="0" r="0" b="0"/>
                  <wp:docPr id="2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6"/>
                          <a:srcRect l="25142" t="24976" r="26285" b="24792"/>
                          <a:stretch>
                            <a:fillRect/>
                          </a:stretch>
                        </pic:blipFill>
                        <pic:spPr>
                          <a:xfrm>
                            <a:off x="0" y="0"/>
                            <a:ext cx="809625" cy="835433"/>
                          </a:xfrm>
                          <a:prstGeom prst="rect">
                            <a:avLst/>
                          </a:prstGeom>
                          <a:ln/>
                        </pic:spPr>
                      </pic:pic>
                    </a:graphicData>
                  </a:graphic>
                </wp:inline>
              </w:drawing>
            </w:r>
          </w:p>
        </w:tc>
        <w:tc>
          <w:tcPr>
            <w:tcW w:w="652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color w:val="3C4043"/>
                <w:sz w:val="18"/>
                <w:szCs w:val="18"/>
              </w:rPr>
            </w:pPr>
            <w:r>
              <w:rPr>
                <w:rFonts w:ascii="Trebuchet MS" w:eastAsia="Trebuchet MS" w:hAnsi="Trebuchet MS" w:cs="Trebuchet MS"/>
                <w:color w:val="3C4043"/>
                <w:sz w:val="18"/>
                <w:szCs w:val="18"/>
              </w:rPr>
              <w:t>CD- This one stood out to me. I could picture the people more in the shape of “LC” and similarly sized (rather than big and small, indicating child/parent)</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color w:val="3C4043"/>
                <w:sz w:val="18"/>
                <w:szCs w:val="18"/>
              </w:rPr>
            </w:pPr>
            <w:r>
              <w:rPr>
                <w:rFonts w:ascii="Trebuchet MS" w:eastAsia="Trebuchet MS" w:hAnsi="Trebuchet MS" w:cs="Trebuchet MS"/>
                <w:color w:val="3C4043"/>
                <w:sz w:val="18"/>
                <w:szCs w:val="18"/>
              </w:rPr>
              <w:t>DW - agreed, this is very nice, again with unusual colours.  They seem to be playing on the letter ‘</w:t>
            </w:r>
            <w:r>
              <w:rPr>
                <w:rFonts w:ascii="Trebuchet MS" w:eastAsia="Trebuchet MS" w:hAnsi="Trebuchet MS" w:cs="Trebuchet MS"/>
                <w:color w:val="3C4043"/>
                <w:sz w:val="18"/>
                <w:szCs w:val="18"/>
              </w:rPr>
              <w:t xml:space="preserve">C’ here.  </w:t>
            </w:r>
            <w:r>
              <w:rPr>
                <w:rFonts w:ascii="Trebuchet MS" w:eastAsia="Trebuchet MS" w:hAnsi="Trebuchet MS" w:cs="Trebuchet MS"/>
                <w:color w:val="3C4043"/>
                <w:sz w:val="18"/>
                <w:szCs w:val="18"/>
                <w:highlight w:val="white"/>
              </w:rPr>
              <w:t xml:space="preserve">I wonder if our 'L' for Learning could be portrayed as an open book, i.e. open upwards, tilted at an angle?  </w:t>
            </w:r>
          </w:p>
        </w:tc>
      </w:tr>
      <w:tr w:rsidR="00FA3618">
        <w:tc>
          <w:tcPr>
            <w:tcW w:w="283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noProof/>
                <w:color w:val="434343"/>
                <w:sz w:val="26"/>
                <w:szCs w:val="26"/>
                <w:lang w:val="en-US"/>
              </w:rPr>
              <w:drawing>
                <wp:inline distT="114300" distB="114300" distL="114300" distR="114300">
                  <wp:extent cx="1633538" cy="1856827"/>
                  <wp:effectExtent l="0" t="0" r="0" b="0"/>
                  <wp:docPr id="1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7"/>
                          <a:srcRect l="25714" r="30285"/>
                          <a:stretch>
                            <a:fillRect/>
                          </a:stretch>
                        </pic:blipFill>
                        <pic:spPr>
                          <a:xfrm>
                            <a:off x="0" y="0"/>
                            <a:ext cx="1633538" cy="1856827"/>
                          </a:xfrm>
                          <a:prstGeom prst="rect">
                            <a:avLst/>
                          </a:prstGeom>
                          <a:ln/>
                        </pic:spPr>
                      </pic:pic>
                    </a:graphicData>
                  </a:graphic>
                </wp:inline>
              </w:drawing>
            </w:r>
          </w:p>
        </w:tc>
        <w:tc>
          <w:tcPr>
            <w:tcW w:w="652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color w:val="3C4043"/>
                <w:sz w:val="18"/>
                <w:szCs w:val="18"/>
              </w:rPr>
            </w:pPr>
            <w:r>
              <w:rPr>
                <w:rFonts w:ascii="Trebuchet MS" w:eastAsia="Trebuchet MS" w:hAnsi="Trebuchet MS" w:cs="Trebuchet MS"/>
                <w:color w:val="3C4043"/>
                <w:sz w:val="18"/>
                <w:szCs w:val="18"/>
              </w:rPr>
              <w:t xml:space="preserve">CD- This idea stood out too. The idea of gears or connected parts that build on and move each other. </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color w:val="3C4043"/>
                <w:sz w:val="18"/>
                <w:szCs w:val="18"/>
              </w:rPr>
            </w:pPr>
            <w:r>
              <w:rPr>
                <w:rFonts w:ascii="Trebuchet MS" w:eastAsia="Trebuchet MS" w:hAnsi="Trebuchet MS" w:cs="Trebuchet MS"/>
                <w:color w:val="3C4043"/>
                <w:sz w:val="18"/>
                <w:szCs w:val="18"/>
              </w:rPr>
              <w:t>DW - also nice, though could do</w:t>
            </w:r>
            <w:r>
              <w:rPr>
                <w:rFonts w:ascii="Trebuchet MS" w:eastAsia="Trebuchet MS" w:hAnsi="Trebuchet MS" w:cs="Trebuchet MS"/>
                <w:color w:val="3C4043"/>
                <w:sz w:val="18"/>
                <w:szCs w:val="18"/>
              </w:rPr>
              <w:t xml:space="preserve"> with some colours IMHO</w:t>
            </w:r>
          </w:p>
        </w:tc>
      </w:tr>
      <w:tr w:rsidR="00FA3618">
        <w:tc>
          <w:tcPr>
            <w:tcW w:w="2835"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inline distT="114300" distB="114300" distL="114300" distR="114300">
                  <wp:extent cx="816230" cy="720578"/>
                  <wp:effectExtent l="0" t="0" r="0" b="0"/>
                  <wp:docPr id="2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8"/>
                          <a:srcRect/>
                          <a:stretch>
                            <a:fillRect/>
                          </a:stretch>
                        </pic:blipFill>
                        <pic:spPr>
                          <a:xfrm>
                            <a:off x="0" y="0"/>
                            <a:ext cx="816230" cy="720578"/>
                          </a:xfrm>
                          <a:prstGeom prst="rect">
                            <a:avLst/>
                          </a:prstGeom>
                          <a:ln/>
                        </pic:spPr>
                      </pic:pic>
                    </a:graphicData>
                  </a:graphic>
                </wp:inline>
              </w:drawing>
            </w:r>
          </w:p>
        </w:tc>
        <w:tc>
          <w:tcPr>
            <w:tcW w:w="6525"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JG: This is a small graphic/visual we used on a previous product (</w:t>
            </w:r>
            <w:hyperlink r:id="rId19">
              <w:r>
                <w:rPr>
                  <w:rFonts w:ascii="Trebuchet MS" w:eastAsia="Trebuchet MS" w:hAnsi="Trebuchet MS" w:cs="Trebuchet MS"/>
                  <w:color w:val="1155CC"/>
                  <w:sz w:val="18"/>
                  <w:szCs w:val="18"/>
                  <w:u w:val="single"/>
                </w:rPr>
                <w:t>LC Summit Top Theme</w:t>
              </w:r>
            </w:hyperlink>
            <w:r>
              <w:rPr>
                <w:rFonts w:ascii="Trebuchet MS" w:eastAsia="Trebuchet MS" w:hAnsi="Trebuchet MS" w:cs="Trebuchet MS"/>
                <w:sz w:val="18"/>
                <w:szCs w:val="18"/>
              </w:rPr>
              <w:t>s doc). I think it falls in line with a lot of our brainstorming here and could be used as inspiration.</w:t>
            </w:r>
          </w:p>
        </w:tc>
      </w:tr>
      <w:tr w:rsidR="00FA3618">
        <w:tc>
          <w:tcPr>
            <w:tcW w:w="2835" w:type="dxa"/>
            <w:shd w:val="clear" w:color="auto" w:fill="auto"/>
            <w:tcMar>
              <w:top w:w="100" w:type="dxa"/>
              <w:left w:w="100" w:type="dxa"/>
              <w:bottom w:w="100" w:type="dxa"/>
              <w:right w:w="100" w:type="dxa"/>
            </w:tcMar>
          </w:tcPr>
          <w:p w:rsidR="00FA3618" w:rsidRDefault="0012449B">
            <w:pPr>
              <w:widowControl w:val="0"/>
              <w:spacing w:line="240" w:lineRule="auto"/>
            </w:pPr>
            <w:r>
              <w:rPr>
                <w:noProof/>
                <w:lang w:val="en-US"/>
              </w:rPr>
              <w:drawing>
                <wp:anchor distT="114300" distB="114300" distL="114300" distR="114300" simplePos="0" relativeHeight="251658240" behindDoc="0" locked="0" layoutInCell="1" hidden="0" allowOverlap="1">
                  <wp:simplePos x="0" y="0"/>
                  <wp:positionH relativeFrom="column">
                    <wp:posOffset>160020</wp:posOffset>
                  </wp:positionH>
                  <wp:positionV relativeFrom="paragraph">
                    <wp:posOffset>110803</wp:posOffset>
                  </wp:positionV>
                  <wp:extent cx="565286" cy="565286"/>
                  <wp:effectExtent l="0" t="0" r="0" b="0"/>
                  <wp:wrapSquare wrapText="bothSides" distT="114300" distB="114300" distL="114300" distR="114300"/>
                  <wp:docPr id="1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0"/>
                          <a:srcRect/>
                          <a:stretch>
                            <a:fillRect/>
                          </a:stretch>
                        </pic:blipFill>
                        <pic:spPr>
                          <a:xfrm>
                            <a:off x="0" y="0"/>
                            <a:ext cx="565286" cy="565286"/>
                          </a:xfrm>
                          <a:prstGeom prst="rect">
                            <a:avLst/>
                          </a:prstGeom>
                          <a:ln/>
                        </pic:spPr>
                      </pic:pic>
                    </a:graphicData>
                  </a:graphic>
                </wp:anchor>
              </w:drawing>
            </w:r>
          </w:p>
        </w:tc>
        <w:tc>
          <w:tcPr>
            <w:tcW w:w="6525" w:type="dxa"/>
            <w:shd w:val="clear" w:color="auto" w:fill="auto"/>
            <w:tcMar>
              <w:top w:w="100" w:type="dxa"/>
              <w:left w:w="100" w:type="dxa"/>
              <w:bottom w:w="100" w:type="dxa"/>
              <w:right w:w="100" w:type="dxa"/>
            </w:tcMar>
          </w:tcPr>
          <w:p w:rsidR="00FA3618" w:rsidRDefault="0012449B">
            <w:pPr>
              <w:widowControl w:val="0"/>
              <w:spacing w:after="200"/>
              <w:rPr>
                <w:rFonts w:ascii="Trebuchet MS" w:eastAsia="Trebuchet MS" w:hAnsi="Trebuchet MS" w:cs="Trebuchet MS"/>
                <w:color w:val="434343"/>
                <w:sz w:val="18"/>
                <w:szCs w:val="18"/>
              </w:rPr>
            </w:pPr>
            <w:r>
              <w:rPr>
                <w:rFonts w:ascii="Trebuchet MS" w:eastAsia="Trebuchet MS" w:hAnsi="Trebuchet MS" w:cs="Trebuchet MS"/>
                <w:color w:val="434343"/>
                <w:sz w:val="18"/>
                <w:szCs w:val="18"/>
              </w:rPr>
              <w:t xml:space="preserve">We work together in a collaborative process of learning, so visually that might be a </w:t>
            </w:r>
            <w:r>
              <w:rPr>
                <w:rFonts w:ascii="Trebuchet MS" w:eastAsia="Trebuchet MS" w:hAnsi="Trebuchet MS" w:cs="Trebuchet MS"/>
                <w:b/>
                <w:color w:val="434343"/>
                <w:sz w:val="18"/>
                <w:szCs w:val="18"/>
              </w:rPr>
              <w:t>circular/repeated process of learning and growing (3D spiral, like tornado)</w:t>
            </w:r>
            <w:r>
              <w:rPr>
                <w:rFonts w:ascii="Trebuchet MS" w:eastAsia="Trebuchet MS" w:hAnsi="Trebuchet MS" w:cs="Trebuchet MS"/>
                <w:color w:val="434343"/>
                <w:sz w:val="18"/>
                <w:szCs w:val="18"/>
              </w:rPr>
              <w:t xml:space="preserve">, or left to right growth. </w:t>
            </w:r>
          </w:p>
          <w:p w:rsidR="00FA3618" w:rsidRDefault="00FA3618">
            <w:pPr>
              <w:widowControl w:val="0"/>
              <w:spacing w:line="240" w:lineRule="auto"/>
              <w:rPr>
                <w:rFonts w:ascii="Trebuchet MS" w:eastAsia="Trebuchet MS" w:hAnsi="Trebuchet MS" w:cs="Trebuchet MS"/>
                <w:sz w:val="18"/>
                <w:szCs w:val="18"/>
              </w:rPr>
            </w:pPr>
          </w:p>
        </w:tc>
      </w:tr>
      <w:tr w:rsidR="00FA3618">
        <w:tc>
          <w:tcPr>
            <w:tcW w:w="2835"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b/>
                <w:color w:val="434343"/>
                <w:sz w:val="26"/>
                <w:szCs w:val="26"/>
              </w:rPr>
            </w:pPr>
            <w:r>
              <w:rPr>
                <w:rFonts w:ascii="Trebuchet MS" w:eastAsia="Trebuchet MS" w:hAnsi="Trebuchet MS" w:cs="Trebuchet MS"/>
                <w:b/>
                <w:noProof/>
                <w:color w:val="434343"/>
                <w:sz w:val="26"/>
                <w:szCs w:val="26"/>
                <w:lang w:val="en-US"/>
              </w:rPr>
              <w:lastRenderedPageBreak/>
              <w:drawing>
                <wp:inline distT="114300" distB="114300" distL="114300" distR="114300">
                  <wp:extent cx="605790" cy="828675"/>
                  <wp:effectExtent l="0" t="0" r="0" b="0"/>
                  <wp:docPr id="23"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1"/>
                          <a:srcRect l="27465" r="24545"/>
                          <a:stretch>
                            <a:fillRect/>
                          </a:stretch>
                        </pic:blipFill>
                        <pic:spPr>
                          <a:xfrm>
                            <a:off x="0" y="0"/>
                            <a:ext cx="605790" cy="828675"/>
                          </a:xfrm>
                          <a:prstGeom prst="rect">
                            <a:avLst/>
                          </a:prstGeom>
                          <a:ln/>
                        </pic:spPr>
                      </pic:pic>
                    </a:graphicData>
                  </a:graphic>
                </wp:inline>
              </w:drawing>
            </w:r>
            <w:r>
              <w:rPr>
                <w:rFonts w:ascii="Trebuchet MS" w:eastAsia="Trebuchet MS" w:hAnsi="Trebuchet MS" w:cs="Trebuchet MS"/>
                <w:b/>
                <w:noProof/>
                <w:color w:val="434343"/>
                <w:sz w:val="26"/>
                <w:szCs w:val="26"/>
                <w:lang w:val="en-US"/>
              </w:rPr>
              <w:drawing>
                <wp:inline distT="114300" distB="114300" distL="114300" distR="114300">
                  <wp:extent cx="788670" cy="771525"/>
                  <wp:effectExtent l="0" t="0" r="0" b="0"/>
                  <wp:docPr id="1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2"/>
                          <a:srcRect l="9058" r="9411"/>
                          <a:stretch>
                            <a:fillRect/>
                          </a:stretch>
                        </pic:blipFill>
                        <pic:spPr>
                          <a:xfrm>
                            <a:off x="0" y="0"/>
                            <a:ext cx="788670" cy="771525"/>
                          </a:xfrm>
                          <a:prstGeom prst="rect">
                            <a:avLst/>
                          </a:prstGeom>
                          <a:ln/>
                        </pic:spPr>
                      </pic:pic>
                    </a:graphicData>
                  </a:graphic>
                </wp:inline>
              </w:drawing>
            </w:r>
          </w:p>
          <w:p w:rsidR="00FA3618" w:rsidRDefault="00FA3618">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p>
        </w:tc>
        <w:tc>
          <w:tcPr>
            <w:tcW w:w="6525"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The advantage of this type is to show people/ human element</w:t>
            </w:r>
          </w:p>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This is a nice, more modern way of showing those inter-connected people.  I like it, and the colours.</w:t>
            </w:r>
          </w:p>
          <w:p w:rsidR="00FA3618" w:rsidRDefault="00FA3618">
            <w:pPr>
              <w:widowControl w:val="0"/>
              <w:spacing w:line="240" w:lineRule="auto"/>
              <w:rPr>
                <w:rFonts w:ascii="Trebuchet MS" w:eastAsia="Trebuchet MS" w:hAnsi="Trebuchet MS" w:cs="Trebuchet MS"/>
                <w:sz w:val="18"/>
                <w:szCs w:val="18"/>
              </w:rPr>
            </w:pPr>
          </w:p>
          <w:p w:rsidR="00FA3618" w:rsidRDefault="00FA3618">
            <w:pPr>
              <w:widowControl w:val="0"/>
              <w:spacing w:line="240" w:lineRule="auto"/>
              <w:rPr>
                <w:rFonts w:ascii="Trebuchet MS" w:eastAsia="Trebuchet MS" w:hAnsi="Trebuchet MS" w:cs="Trebuchet MS"/>
                <w:sz w:val="18"/>
                <w:szCs w:val="18"/>
              </w:rPr>
            </w:pPr>
          </w:p>
        </w:tc>
      </w:tr>
      <w:tr w:rsidR="00FA3618">
        <w:tc>
          <w:tcPr>
            <w:tcW w:w="283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noProof/>
                <w:color w:val="434343"/>
                <w:sz w:val="26"/>
                <w:szCs w:val="26"/>
                <w:lang w:val="en-US"/>
              </w:rPr>
              <w:drawing>
                <wp:inline distT="114300" distB="114300" distL="114300" distR="114300">
                  <wp:extent cx="720339" cy="776288"/>
                  <wp:effectExtent l="0" t="0" r="0" b="0"/>
                  <wp:docPr id="1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3"/>
                          <a:srcRect/>
                          <a:stretch>
                            <a:fillRect/>
                          </a:stretch>
                        </pic:blipFill>
                        <pic:spPr>
                          <a:xfrm>
                            <a:off x="0" y="0"/>
                            <a:ext cx="720339" cy="776288"/>
                          </a:xfrm>
                          <a:prstGeom prst="rect">
                            <a:avLst/>
                          </a:prstGeom>
                          <a:ln/>
                        </pic:spPr>
                      </pic:pic>
                    </a:graphicData>
                  </a:graphic>
                </wp:inline>
              </w:drawing>
            </w:r>
          </w:p>
        </w:tc>
        <w:tc>
          <w:tcPr>
            <w:tcW w:w="652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LS - possible to reference cultural designs, as well as collaboration.</w:t>
            </w:r>
          </w:p>
          <w:p w:rsidR="00FA3618" w:rsidRDefault="0012449B">
            <w:pPr>
              <w:widowControl w:val="0"/>
              <w:pBdr>
                <w:top w:val="nil"/>
                <w:left w:val="nil"/>
                <w:bottom w:val="nil"/>
                <w:right w:val="nil"/>
                <w:between w:val="nil"/>
              </w:pBdr>
              <w:spacing w:line="240" w:lineRule="auto"/>
              <w:rPr>
                <w:rFonts w:ascii="Trebuchet MS" w:eastAsia="Trebuchet MS" w:hAnsi="Trebuchet MS" w:cs="Trebuchet MS"/>
                <w:sz w:val="18"/>
                <w:szCs w:val="18"/>
              </w:rPr>
            </w:pPr>
            <w:r>
              <w:rPr>
                <w:rFonts w:ascii="Trebuchet MS" w:eastAsia="Trebuchet MS" w:hAnsi="Trebuchet MS" w:cs="Trebuchet MS"/>
                <w:sz w:val="18"/>
                <w:szCs w:val="18"/>
              </w:rPr>
              <w:t>DW - interesting, like a mix of some of the others, including the one wit</w:t>
            </w:r>
            <w:r>
              <w:rPr>
                <w:rFonts w:ascii="Trebuchet MS" w:eastAsia="Trebuchet MS" w:hAnsi="Trebuchet MS" w:cs="Trebuchet MS"/>
                <w:sz w:val="18"/>
                <w:szCs w:val="18"/>
              </w:rPr>
              <w:t xml:space="preserve">h ‘gears’.  I wonder what would be made of it though.  </w:t>
            </w:r>
          </w:p>
        </w:tc>
      </w:tr>
      <w:tr w:rsidR="00FA3618">
        <w:tc>
          <w:tcPr>
            <w:tcW w:w="2835" w:type="dxa"/>
            <w:shd w:val="clear" w:color="auto" w:fill="auto"/>
            <w:tcMar>
              <w:top w:w="100" w:type="dxa"/>
              <w:left w:w="100" w:type="dxa"/>
              <w:bottom w:w="100" w:type="dxa"/>
              <w:right w:w="100" w:type="dxa"/>
            </w:tcMar>
          </w:tcPr>
          <w:p w:rsidR="00FA3618" w:rsidRDefault="0012449B">
            <w:pPr>
              <w:widowControl w:val="0"/>
              <w:pBdr>
                <w:top w:val="nil"/>
                <w:left w:val="nil"/>
                <w:bottom w:val="nil"/>
                <w:right w:val="nil"/>
                <w:between w:val="nil"/>
              </w:pBdr>
              <w:spacing w:line="240" w:lineRule="auto"/>
              <w:rPr>
                <w:rFonts w:ascii="Trebuchet MS" w:eastAsia="Trebuchet MS" w:hAnsi="Trebuchet MS" w:cs="Trebuchet MS"/>
                <w:b/>
                <w:color w:val="434343"/>
                <w:sz w:val="26"/>
                <w:szCs w:val="26"/>
              </w:rPr>
            </w:pPr>
            <w:r>
              <w:rPr>
                <w:rFonts w:ascii="Trebuchet MS" w:eastAsia="Trebuchet MS" w:hAnsi="Trebuchet MS" w:cs="Trebuchet MS"/>
                <w:b/>
                <w:noProof/>
                <w:color w:val="434343"/>
                <w:sz w:val="26"/>
                <w:szCs w:val="26"/>
                <w:lang w:val="en-US"/>
              </w:rPr>
              <w:drawing>
                <wp:inline distT="114300" distB="114300" distL="114300" distR="114300">
                  <wp:extent cx="747713" cy="747713"/>
                  <wp:effectExtent l="0" t="0" r="0" b="0"/>
                  <wp:docPr id="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4"/>
                          <a:srcRect/>
                          <a:stretch>
                            <a:fillRect/>
                          </a:stretch>
                        </pic:blipFill>
                        <pic:spPr>
                          <a:xfrm>
                            <a:off x="0" y="0"/>
                            <a:ext cx="747713" cy="747713"/>
                          </a:xfrm>
                          <a:prstGeom prst="rect">
                            <a:avLst/>
                          </a:prstGeom>
                          <a:ln/>
                        </pic:spPr>
                      </pic:pic>
                    </a:graphicData>
                  </a:graphic>
                </wp:inline>
              </w:drawing>
            </w:r>
          </w:p>
        </w:tc>
        <w:tc>
          <w:tcPr>
            <w:tcW w:w="6525" w:type="dxa"/>
            <w:shd w:val="clear" w:color="auto" w:fill="auto"/>
            <w:tcMar>
              <w:top w:w="100" w:type="dxa"/>
              <w:left w:w="100" w:type="dxa"/>
              <w:bottom w:w="100" w:type="dxa"/>
              <w:right w:w="100" w:type="dxa"/>
            </w:tcMar>
          </w:tcPr>
          <w:p w:rsidR="00FA3618" w:rsidRDefault="0012449B">
            <w:pPr>
              <w:widowControl w:val="0"/>
              <w:spacing w:line="240" w:lineRule="auto"/>
              <w:rPr>
                <w:rFonts w:ascii="Trebuchet MS" w:eastAsia="Trebuchet MS" w:hAnsi="Trebuchet MS" w:cs="Trebuchet MS"/>
                <w:sz w:val="18"/>
                <w:szCs w:val="18"/>
              </w:rPr>
            </w:pPr>
            <w:r>
              <w:rPr>
                <w:rFonts w:ascii="Trebuchet MS" w:eastAsia="Trebuchet MS" w:hAnsi="Trebuchet MS" w:cs="Trebuchet MS"/>
                <w:sz w:val="18"/>
                <w:szCs w:val="18"/>
              </w:rPr>
              <w:t>C</w:t>
            </w:r>
            <w:r>
              <w:rPr>
                <w:rFonts w:ascii="Trebuchet MS" w:eastAsia="Trebuchet MS" w:hAnsi="Trebuchet MS" w:cs="Trebuchet MS"/>
                <w:sz w:val="18"/>
                <w:szCs w:val="18"/>
              </w:rPr>
              <w:t xml:space="preserve">D- I like the variety of the thickness/shapes here and the use of overlapping space. </w:t>
            </w:r>
          </w:p>
        </w:tc>
      </w:tr>
    </w:tbl>
    <w:p w:rsidR="00FA3618" w:rsidRDefault="00FA3618">
      <w:pPr>
        <w:rPr>
          <w:rFonts w:ascii="Trebuchet MS" w:eastAsia="Trebuchet MS" w:hAnsi="Trebuchet MS" w:cs="Trebuchet MS"/>
          <w:b/>
          <w:color w:val="434343"/>
          <w:sz w:val="26"/>
          <w:szCs w:val="26"/>
        </w:rPr>
      </w:pPr>
      <w:bookmarkStart w:id="0" w:name="_GoBack"/>
      <w:bookmarkEnd w:id="0"/>
    </w:p>
    <w:sectPr w:rsidR="00FA361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C01BC2"/>
    <w:multiLevelType w:val="multilevel"/>
    <w:tmpl w:val="3B8007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D595F26"/>
    <w:multiLevelType w:val="multilevel"/>
    <w:tmpl w:val="EFFC5B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3618"/>
    <w:rsid w:val="0012449B"/>
    <w:rsid w:val="00FA36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CDC72CF-45D5-43A0-8E54-2C1FC30999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3.png"/><Relationship Id="rId12" Type="http://schemas.openxmlformats.org/officeDocument/2006/relationships/hyperlink" Target="https://drive.google.com/file/d/1tKN20yn2h6C04x-S17voDEKJC3RKlHbh/view?usp=sharing" TargetMode="External"/><Relationship Id="rId17" Type="http://schemas.openxmlformats.org/officeDocument/2006/relationships/image" Target="media/image12.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7.png"/><Relationship Id="rId10" Type="http://schemas.openxmlformats.org/officeDocument/2006/relationships/image" Target="media/image6.png"/><Relationship Id="rId19" Type="http://schemas.openxmlformats.org/officeDocument/2006/relationships/hyperlink" Target="https://irh.org/resource-library/top-themes-from-the-lc-summit/" TargetMode="External"/><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9.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5</Pages>
  <Words>1095</Words>
  <Characters>6248</Characters>
  <Application>Microsoft Office Word</Application>
  <DocSecurity>0</DocSecurity>
  <Lines>52</Lines>
  <Paragraphs>14</Paragraphs>
  <ScaleCrop>false</ScaleCrop>
  <Company/>
  <LinksUpToDate>false</LinksUpToDate>
  <CharactersWithSpaces>7329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Cait Davin</cp:lastModifiedBy>
  <cp:revision>2</cp:revision>
  <dcterms:created xsi:type="dcterms:W3CDTF">2021-01-12T14:30:00Z</dcterms:created>
  <dcterms:modified xsi:type="dcterms:W3CDTF">2021-01-12T14:35:00Z</dcterms:modified>
</cp:coreProperties>
</file>